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22ed43f834f8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44160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PAVAO BELAS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2.434.018,04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2.740.139,31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2.325.604,20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2.788.256,89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48.117,58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104.315,47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137.360,23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104.315,47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137.360,23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185.477,81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prihodi poslovanja su ostvareni u iznosu od 2.740.139,31 eura. Najvećim se dijelom odnose na tekuće pomoći iz nenadležnih proračuna za plaće, nadležnog proračuna za financiranja rashoda poslovanja i kapitalnih pomoći za nabavu nefinancijske imovine. U odnosu na prethodno izvještajno razdoblje, plaća za prosinac se knjižila na konto kontinuiranih budućih rashoda poslovanja koji su s novim Pravilnikom ukinuti te se rashod knjiži u mjesecu kad je ostvaren i tako ove godine imamo evidentirano trinaest rashoda za plaće, a dvanaest prihoda. Rashodi poslovanja ostvareni su u iznosu od 2.788.256,89 eura i također se najvećim dijelom odnose na plaće zasposlenika. U navedenom razdoblju nema ostvarenih prihoda od prodaje nefinancijske imovine, dok su rashodi za isto ostvareni u iznosu od 137.360,23 eura. Odnosi se na kapitalna ulaganja u poslovni objekt; dogradnja škole te nabavu udžbenika. Slijedom navedenog, ostvaren je ukupni manjak od 185.477,81 eura koji će se pokriti u idućem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14.538,09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1964,6</w:t>
            </w:r>
          </w:p>
        </w:tc>
      </w:tr>
    </w:tbl>
    <w:p>
      <w:pPr>
        <w:spacing w:before="0" w:after="0"/>
      </w:pPr>
    </w:p>
    <w:p>
      <w:r>
        <w:t xml:space="preserve">Iskazani prihod se odnosi na nabavu udžbenika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94.294,36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121.422,02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128,8</w:t>
            </w:r>
          </w:p>
        </w:tc>
      </w:tr>
    </w:tbl>
    <w:p>
      <w:pPr>
        <w:spacing w:before="0" w:after="0"/>
      </w:pPr>
    </w:p>
    <w:p>
      <w:r>
        <w:t xml:space="preserve">Prihod iz nadležnog proračuna za dogradnju i rekonstrukciju škole i sanaciju krova.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1.943.945,99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2.361.596,44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121,5</w:t>
            </w:r>
          </w:p>
        </w:tc>
      </w:tr>
    </w:tbl>
    <w:p>
      <w:pPr>
        <w:spacing w:before="0" w:after="0"/>
      </w:pPr>
    </w:p>
    <w:p>
      <w:r>
        <w:t xml:space="preserve">U ovom izvještajnom razdoblju evidentirana jedna plaća više nego u prošlom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16.221,50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818,9</w:t>
            </w:r>
          </w:p>
        </w:tc>
      </w:tr>
    </w:tbl>
    <w:p>
      <w:pPr>
        <w:spacing w:before="0" w:after="0"/>
      </w:pPr>
    </w:p>
    <w:p>
      <w:r>
        <w:t xml:space="preserve">Na ovom kontu najveći iznos se odnosi na stručno usavršavanje iz Erasmus+ projekta kojeg nije bilo u prethodnom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10.483,97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22.163,24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211,4</w:t>
            </w:r>
          </w:p>
        </w:tc>
      </w:tr>
    </w:tbl>
    <w:p>
      <w:pPr>
        <w:spacing w:before="0" w:after="0"/>
      </w:pPr>
    </w:p>
    <w:p>
      <w:r>
        <w:t xml:space="preserve">Rashodi su znatno veći u odnosu na prethodno izvještajno razdoblje zbog izvanrednog popravka odvodnog sustava.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11.951,80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195.737,38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1637,7</w:t>
            </w:r>
          </w:p>
        </w:tc>
      </w:tr>
    </w:tbl>
    <w:p>
      <w:pPr>
        <w:spacing w:before="0" w:after="0"/>
      </w:pPr>
    </w:p>
    <w:p>
      <w:r>
        <w:t xml:space="preserve">Obračunati prihod poslovanja sastoji se najvećim dijelom od plaća i naknada za prosinac 2025. godine te prehrane za prosinac koju sufinancira MZOM i Općinski proračun.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34.828,66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688,0</w:t>
            </w:r>
          </w:p>
        </w:tc>
      </w:tr>
    </w:tbl>
    <w:p>
      <w:pPr>
        <w:spacing w:before="0" w:after="0"/>
      </w:pPr>
    </w:p>
    <w:p>
      <w:r>
        <w:t xml:space="preserve">Na ovom kontu imamo veliki indeks zbog projekta projektiranja i dogradnje škole koji financira nadležni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16.495,52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827,3</w:t>
            </w:r>
          </w:p>
        </w:tc>
      </w:tr>
    </w:tbl>
    <w:p>
      <w:pPr>
        <w:spacing w:before="0" w:after="0"/>
      </w:pPr>
    </w:p>
    <w:p>
      <w:r>
        <w:t xml:space="preserve">U prethodnom izvještajnom razdoblju sve je knjiženo na konto naknada građanima i članovima kućanstava, a u ovom izvještajnom razdoblju su udžbenici koji nisu radni knjiženi na konto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178.237,22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najvećim se dijelom odnosi se na plaće i prehranu za prosinac 2025. godine čiji prihodi će biti ostvareni u siječnju 2026. godine.</w:t>
      </w:r>
    </w:p>
    <w:p>
      <w:r>
        <w:t xml:space="preserve">U prošlom izvještajnom razdoblju je to bilo knjiženo na konto kontinuiranih budućih razdoblja, ali po novom Pravilniku o proračunskom računovodstvu taj se konto više ne koristi i knjiži se rashod u prosincu.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181.424,17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1.1.2025. godine ovaj konto više ne postoji.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14.538,09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1964,6</w:t>
            </w:r>
          </w:p>
        </w:tc>
      </w:tr>
    </w:tbl>
    <w:p>
      <w:pPr>
        <w:spacing w:before="0" w:after="0"/>
      </w:pPr>
    </w:p>
    <w:p>
      <w:r>
        <w:t xml:space="preserve">Ovaj prihod se odnosi na udžbenike koji su knjiženi na konto knjiga, dok su u prošlom izvještajnom razdoblju svi udžbenici knjiženi na naknade građanima i članovima kućanstava pa samim time i prihod na tekuće, a ne kapitalne pomoći.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11.912,10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1.1.2026. godine škola prelazi na sustav pune riznice pa je 30.12.2025. godine zatvoren račun škole i sva sredstva su prebačena na račun Zagrebačke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9.984,61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189.025,34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1893,2</w:t>
            </w:r>
          </w:p>
        </w:tc>
      </w:tr>
    </w:tbl>
    <w:p>
      <w:pPr>
        <w:spacing w:before="0" w:after="0"/>
      </w:pPr>
    </w:p>
    <w:p>
      <w:r>
        <w:t xml:space="preserve">Ovdje su evidentirana potraživanja za plaće i prehranu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15.844,80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ovom kontu je evidentirana doznaka sredstva za projekt Erasmus+ budući da se prihod priznaje tek po odobrenom završnom izvješću.</w:t>
      </w:r>
    </w:p>
    <w:p>
      <w:r>
        <w:t xml:space="preserve">Navedeni iznos čini 80% ukupne vrijednosti ugovora.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7.240,59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-178.237,22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-2461,6</w:t>
            </w:r>
          </w:p>
        </w:tc>
      </w:tr>
    </w:tbl>
    <w:p>
      <w:pPr>
        <w:spacing w:before="0" w:after="0"/>
      </w:pPr>
    </w:p>
    <w:p>
      <w:r>
        <w:t xml:space="preserve">Kao što je već više puta navedeno, u ovom izvještajnom razdoblju imamo manjak poslovanja jer su plaća za prosinac i računi za prehranu za prosinac evidentirani na kontima rashoda, a u prošlom izvještajnom razdoblju nisu bili knjiženi kao rashod nego preko konta 1931 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11.951,80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195.737,38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1637,7</w:t>
            </w:r>
          </w:p>
        </w:tc>
      </w:tr>
    </w:tbl>
    <w:p>
      <w:pPr>
        <w:spacing w:before="0" w:after="0"/>
      </w:pPr>
    </w:p>
    <w:p>
      <w:r>
        <w:t xml:space="preserve">Ovaj konto odgovara najvećim iznosom potraživanjima za plaće i prehranu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18.382,00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izvanbilančnim zapisima imamo evidentiranu ukupnu vrijednost ugovora projekta Erasmus+.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6.437,41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ovaj konto je knjižen prijenos sredstava s računa škole na račun osnivača zbog prelaska na sustav pune riznice.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119.486,68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133.343,52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</w:tbl>
    <w:p>
      <w:pPr>
        <w:spacing w:before="0" w:after="0"/>
      </w:pPr>
    </w:p>
    <w:p>
      <w:r>
        <w:t xml:space="preserve">Veći rashodi za namirnice u odnosu na prethodno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Nije bilo promjena u vrijednosti i obujmu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nemamo dospjelih obveza jer su sve podmirene, a nedospjele obveze odnose se na plaće za prosinac, naknade za prijevoz, nezapošljavanje invalida, prehranu za prosinac, obveze za EU predujmove i 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177.181,26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čine obveze za plaće i prehranu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15.844,80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Ovo su obveze za EU predujmove - Erasmus te obveze za povrat u proračun - bolovanja na teret HZZO-a koja se od 2025. godine evidentiraju na kontu 27612.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za OŠ Pavao Belas odnosi se na Erasmus+ projekt te projekt Prsten potpore VII.</w:t>
      </w:r>
    </w:p>
    <w:p>
      <w:r>
        <w:t xml:space="preserve">Erasmus projekt financiran je iz izvora 510-programi unije. Ukupnu vrijednost ugovora Erasmus projekta vidimo na kontu vanbilančnih zapisa, a uplaćeni predujam od 80% na kontu 27521. Rashodi za Erasmus na kontu 3213 stručna usavršavanja ostvareni su u iznosu od 14.064,00 eura, a kako prihod ne priznajemo dok nije odobreno izvješće tako u ovom izvještajnom razdoblju evidentitramo manjak na navedenom projektu.</w:t>
      </w:r>
    </w:p>
    <w:p>
      <w:r>
        <w:t xml:space="preserve">Projekt Prsten potpore VII financiran je iz dva izvora; nacionalno sufinanciranje i 561-Europski socijalni fond. Evidentirani su prihodi i rashodi za plaće pomoćnika u nastavi te ostala materijalna prava i naknade.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1e7f3b7ea0470b" /></Relationships>
</file>